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2B5EA" w14:textId="77777777" w:rsidR="00F64A24" w:rsidRDefault="00F64A24" w:rsidP="00F64A24">
      <w:pPr>
        <w:pStyle w:val="NormalnyWeb"/>
        <w:jc w:val="center"/>
        <w:rPr>
          <w:rStyle w:val="events-detail-sign"/>
          <w:b/>
          <w:bCs/>
        </w:rPr>
      </w:pPr>
      <w:r>
        <w:rPr>
          <w:rStyle w:val="events-detail-sign"/>
          <w:b/>
          <w:bCs/>
        </w:rPr>
        <w:t>„</w:t>
      </w:r>
      <w:r w:rsidRPr="00F64A24">
        <w:rPr>
          <w:rStyle w:val="events-detail-sign"/>
          <w:b/>
          <w:bCs/>
        </w:rPr>
        <w:t>Uchwycić getto. Codzienność getta łódzkiego oczami artystów</w:t>
      </w:r>
      <w:r>
        <w:rPr>
          <w:rStyle w:val="events-detail-sign"/>
          <w:b/>
          <w:bCs/>
        </w:rPr>
        <w:t>” – wystawa czasowa w Żydowskim Instytucie Historycznym im. Emanuela Ringelbluma w Warszawie</w:t>
      </w:r>
    </w:p>
    <w:p w14:paraId="7F498A0D" w14:textId="77777777" w:rsidR="00F64A24" w:rsidRDefault="00F64A24" w:rsidP="00F64A24">
      <w:pPr>
        <w:pStyle w:val="NormalnyWeb"/>
        <w:jc w:val="center"/>
        <w:rPr>
          <w:rStyle w:val="events-detail-sign"/>
          <w:b/>
          <w:bCs/>
        </w:rPr>
      </w:pPr>
      <w:r>
        <w:rPr>
          <w:rStyle w:val="events-detail-sign"/>
          <w:b/>
          <w:bCs/>
        </w:rPr>
        <w:t>28.08.2024–16.03.2025</w:t>
      </w:r>
    </w:p>
    <w:p w14:paraId="43420FD4" w14:textId="77777777" w:rsidR="00F64A24" w:rsidRPr="00F64A24" w:rsidRDefault="00F64A24" w:rsidP="00F64A24">
      <w:pPr>
        <w:pStyle w:val="NormalnyWeb"/>
        <w:jc w:val="both"/>
        <w:rPr>
          <w:b/>
          <w:bCs/>
        </w:rPr>
      </w:pPr>
    </w:p>
    <w:p w14:paraId="586622A3" w14:textId="77777777" w:rsidR="00F64A24" w:rsidRDefault="00F64A24" w:rsidP="00F64A24">
      <w:pPr>
        <w:pStyle w:val="NormalnyWeb"/>
        <w:jc w:val="both"/>
      </w:pPr>
      <w:r>
        <w:t xml:space="preserve">Wystawa czasowa „Uchwycić getto. Codzienność getta łódzkiego oczami artystów” </w:t>
      </w:r>
      <w:hyperlink r:id="rId7" w:history="1">
        <w:r>
          <w:rPr>
            <w:rStyle w:val="Hipercze"/>
          </w:rPr>
          <w:t>osiemdziesiątej rocznicy likwidacji getta w okupowanej Łodzi</w:t>
        </w:r>
      </w:hyperlink>
      <w:r>
        <w:t>.</w:t>
      </w:r>
    </w:p>
    <w:p w14:paraId="614BB342" w14:textId="77777777" w:rsidR="00F64A24" w:rsidRDefault="00F64A24" w:rsidP="00F64A24">
      <w:pPr>
        <w:pStyle w:val="NormalnyWeb"/>
        <w:jc w:val="both"/>
      </w:pPr>
      <w:r>
        <w:t>Getto łódzkie istniało od 8 lutego 1940 do 29 sierpnia 1944 roku. W tym o</w:t>
      </w:r>
      <w:bookmarkStart w:id="0" w:name="_GoBack"/>
      <w:bookmarkEnd w:id="0"/>
      <w:r>
        <w:t>kresie przeszło przez nie ponad 200 tys. osób – zarówno Żydów łódzkich oraz pochodzących z okolicznych miejscowości, jak i deportowanych z III Rzeszy czy Protektoratu Czech i Moraw. Żydów przymusowo osiedlono na obszarze obejmującym zaledwie 4,13 km</w:t>
      </w:r>
      <w:r>
        <w:rPr>
          <w:vertAlign w:val="superscript"/>
        </w:rPr>
        <w:t>2</w:t>
      </w:r>
      <w:r>
        <w:t>. Na skutek głodu i chorób w getcie zmarło około 45 tys. osób. Większość mieszkańców zamordowano w obozach zagłady w Chełmnie nad Nerem i Auschwitz-Birkenau. Szacuje się, że wojnę przeżyło nie więcej niż 12 tys. osób.</w:t>
      </w:r>
    </w:p>
    <w:p w14:paraId="3028E855" w14:textId="77777777" w:rsidR="00F64A24" w:rsidRDefault="00F64A24" w:rsidP="00F64A24">
      <w:pPr>
        <w:pStyle w:val="NormalnyWeb"/>
        <w:jc w:val="both"/>
      </w:pPr>
      <w:r>
        <w:t xml:space="preserve">Ekspozycja przedstawia różne aspekty skrajnie trudnego funkcjonowania Żydów w utworzonej przez Niemców „dzielnicy zamkniętej”. Przeludnienie, fatalna sytuacja sanitarna i niedobory żywności dotknęły wszystkich, choć nie w równym stopniu. Getto przetrwało tak długo, gdyż jego mieszkańcy podjęli się produkcji najróżniejszych towarów na rzecz niemieckiej gospodarki. Pokazanie, że getto pracuje, a jego mieszkańcy są potrzebni, stanowiło najważniejszy cel żydowskiej administracji, na której czele stał Mordechaj Chaim </w:t>
      </w:r>
      <w:proofErr w:type="spellStart"/>
      <w:r>
        <w:t>Rumkowski</w:t>
      </w:r>
      <w:proofErr w:type="spellEnd"/>
      <w:r>
        <w:t>. Ślady tej polityki są widoczne w wielu eksponatach tworzących wystawę.</w:t>
      </w:r>
    </w:p>
    <w:p w14:paraId="2C65DA4C" w14:textId="77777777" w:rsidR="00F64A24" w:rsidRDefault="00F64A24" w:rsidP="00F64A24">
      <w:pPr>
        <w:pStyle w:val="NormalnyWeb"/>
        <w:jc w:val="both"/>
      </w:pPr>
      <w:proofErr w:type="spellStart"/>
      <w:r>
        <w:t>Gettową</w:t>
      </w:r>
      <w:proofErr w:type="spellEnd"/>
      <w:r>
        <w:t xml:space="preserve"> codzienność pokazujemy poprzez zbiory Żydowskiego Instytutu Historycznego: oryginalne obrazy i rysunki stworzone w getcie – przede wszystkim przez Józefa </w:t>
      </w:r>
      <w:proofErr w:type="spellStart"/>
      <w:r>
        <w:t>Kownera</w:t>
      </w:r>
      <w:proofErr w:type="spellEnd"/>
      <w:r>
        <w:t xml:space="preserve">, Izraela </w:t>
      </w:r>
      <w:proofErr w:type="spellStart"/>
      <w:r>
        <w:t>Lejzerowicza</w:t>
      </w:r>
      <w:proofErr w:type="spellEnd"/>
      <w:r>
        <w:t xml:space="preserve"> i </w:t>
      </w:r>
      <w:proofErr w:type="spellStart"/>
      <w:r>
        <w:t>Icchoka</w:t>
      </w:r>
      <w:proofErr w:type="spellEnd"/>
      <w:r>
        <w:t xml:space="preserve"> </w:t>
      </w:r>
      <w:proofErr w:type="spellStart"/>
      <w:r>
        <w:t>Braunera</w:t>
      </w:r>
      <w:proofErr w:type="spellEnd"/>
      <w:r>
        <w:t xml:space="preserve"> – a także wykonane różnymi technikami przedmioty tworzone w getcie. Niektóre z nich to zainspirowane obserwacją życia codziennego w pełni dopracowane dzieła. Inne wydają się spontanicznym zapisem rzeczywistości czy reportażem. Jeszcze inne powstały na zlecenie żydowskiej administracji, a ich celem było przekonanie Niemców o przydatności pracy łódzkich Żydów; są one wyrazem złudnej nadziei na ocalenie.</w:t>
      </w:r>
    </w:p>
    <w:p w14:paraId="5A747225" w14:textId="77777777" w:rsidR="00F64A24" w:rsidRDefault="00F64A24" w:rsidP="00F64A24">
      <w:pPr>
        <w:pStyle w:val="NormalnyWeb"/>
        <w:jc w:val="both"/>
      </w:pPr>
      <w:r>
        <w:t>Eksponaty wraz z towarzyszącym im kuratorskim komentarzem oraz przywołanymi podstawowymi faktami, w tym także informacjami biograficznymi dotyczącymi twórców tych prac, przybliżają codzienność getta i okoliczności, w jakich powstały. Zrozumiałe stają się zawarte w nich treści i znaczenia oraz ich forma artystyczna. Szczególne miejsce na wystawie zajmują te dzieła, które artyści tworzyli z wewnętrznej potrzeby udokumentowania realiów, jakie stały się udziałem tysięcy Żydów. Są one wyrazem oporu wobec granicznej sytuacji, w której znaleźli się ich twórcy, próbą ocalenia życia i zachowania człowieczeństwa.</w:t>
      </w:r>
    </w:p>
    <w:p w14:paraId="404BDBCB" w14:textId="77777777" w:rsidR="00F64A24" w:rsidRDefault="00F64A24" w:rsidP="00F64A24">
      <w:pPr>
        <w:pStyle w:val="NormalnyWeb"/>
        <w:jc w:val="both"/>
      </w:pPr>
      <w:r>
        <w:t> </w:t>
      </w:r>
    </w:p>
    <w:p w14:paraId="393BD93B" w14:textId="77777777" w:rsidR="00F64A24" w:rsidRDefault="00F64A24" w:rsidP="00F64A24">
      <w:pPr>
        <w:pStyle w:val="NormalnyWeb"/>
      </w:pPr>
      <w:r>
        <w:rPr>
          <w:rStyle w:val="Pogrubienie"/>
        </w:rPr>
        <w:t>Kuratorzy wystawy</w:t>
      </w:r>
      <w:r>
        <w:br/>
        <w:t>dr Jakub Bendkowski, dr Zofia Trębacz</w:t>
      </w:r>
    </w:p>
    <w:p w14:paraId="48098825" w14:textId="77777777" w:rsidR="00F64A24" w:rsidRDefault="00F64A24" w:rsidP="00F64A24">
      <w:pPr>
        <w:pStyle w:val="NormalnyWeb"/>
      </w:pPr>
      <w:r>
        <w:rPr>
          <w:rStyle w:val="Pogrubienie"/>
        </w:rPr>
        <w:t>Opieka merytoryczna</w:t>
      </w:r>
      <w:r>
        <w:rPr>
          <w:b/>
          <w:bCs/>
        </w:rPr>
        <w:br/>
      </w:r>
      <w:r>
        <w:t>dr Ewa Wiatr</w:t>
      </w:r>
    </w:p>
    <w:p w14:paraId="30B8D9DF" w14:textId="77777777" w:rsidR="00F64A24" w:rsidRDefault="00F64A24" w:rsidP="00F64A24">
      <w:pPr>
        <w:pStyle w:val="NormalnyWeb"/>
      </w:pPr>
      <w:r>
        <w:rPr>
          <w:rStyle w:val="Pogrubienie"/>
        </w:rPr>
        <w:lastRenderedPageBreak/>
        <w:t>Projekt aranżacji</w:t>
      </w:r>
      <w:r>
        <w:rPr>
          <w:b/>
          <w:bCs/>
        </w:rPr>
        <w:br/>
      </w:r>
      <w:r>
        <w:t xml:space="preserve">Łukasz </w:t>
      </w:r>
      <w:proofErr w:type="spellStart"/>
      <w:r>
        <w:t>Izert</w:t>
      </w:r>
      <w:proofErr w:type="spellEnd"/>
    </w:p>
    <w:p w14:paraId="3E8AFF1A" w14:textId="77777777" w:rsidR="00F64A24" w:rsidRDefault="00F64A24" w:rsidP="00F64A24">
      <w:pPr>
        <w:pStyle w:val="NormalnyWeb"/>
      </w:pPr>
      <w:r>
        <w:rPr>
          <w:rStyle w:val="Pogrubienie"/>
        </w:rPr>
        <w:t>Produkcja wystawy</w:t>
      </w:r>
      <w:r>
        <w:rPr>
          <w:b/>
          <w:bCs/>
        </w:rPr>
        <w:br/>
      </w:r>
      <w:r>
        <w:t>Marta Kapełuś</w:t>
      </w:r>
    </w:p>
    <w:p w14:paraId="75696009" w14:textId="77777777" w:rsidR="00F64A24" w:rsidRDefault="00F64A24" w:rsidP="00F64A24">
      <w:pPr>
        <w:pStyle w:val="NormalnyWeb"/>
      </w:pPr>
      <w:r>
        <w:rPr>
          <w:rStyle w:val="Pogrubienie"/>
        </w:rPr>
        <w:t xml:space="preserve">Wykonawca scenografii </w:t>
      </w:r>
      <w:r>
        <w:br/>
        <w:t>Kontra Pracownia Plastyczna Tomasz Marzec</w:t>
      </w:r>
    </w:p>
    <w:p w14:paraId="66962012" w14:textId="77777777" w:rsidR="00F64A24" w:rsidRDefault="00F64A24" w:rsidP="00F64A24">
      <w:pPr>
        <w:pStyle w:val="NormalnyWeb"/>
      </w:pPr>
      <w:r>
        <w:rPr>
          <w:rStyle w:val="Pogrubienie"/>
        </w:rPr>
        <w:t>Tłumaczenie na język angielski</w:t>
      </w:r>
      <w:r>
        <w:br/>
        <w:t>Natalia Kłopotek, Zofia Sochańska</w:t>
      </w:r>
    </w:p>
    <w:p w14:paraId="28593479" w14:textId="77777777" w:rsidR="00F64A24" w:rsidRDefault="00F64A24" w:rsidP="00F64A24">
      <w:pPr>
        <w:pStyle w:val="NormalnyWeb"/>
      </w:pPr>
      <w:r>
        <w:rPr>
          <w:rStyle w:val="Pogrubienie"/>
        </w:rPr>
        <w:t>Redakcja językowa</w:t>
      </w:r>
      <w:r>
        <w:br/>
        <w:t>Jolanta Rudzińska</w:t>
      </w:r>
    </w:p>
    <w:p w14:paraId="013EC8F2" w14:textId="77777777" w:rsidR="00F64A24" w:rsidRDefault="00F64A24" w:rsidP="00F64A24">
      <w:pPr>
        <w:pStyle w:val="NormalnyWeb"/>
      </w:pPr>
      <w:r>
        <w:rPr>
          <w:rStyle w:val="Pogrubienie"/>
        </w:rPr>
        <w:t>Korekta</w:t>
      </w:r>
      <w:r>
        <w:rPr>
          <w:b/>
          <w:bCs/>
        </w:rPr>
        <w:br/>
      </w:r>
      <w:r>
        <w:t>Marcin Romanowski, Zofia Sochańska</w:t>
      </w:r>
    </w:p>
    <w:p w14:paraId="60AFAE39" w14:textId="77777777" w:rsidR="00F64A24" w:rsidRDefault="00F64A24" w:rsidP="00F64A24">
      <w:pPr>
        <w:pStyle w:val="NormalnyWeb"/>
      </w:pPr>
      <w:r>
        <w:rPr>
          <w:rStyle w:val="Pogrubienie"/>
        </w:rPr>
        <w:t>Opieka konserwatorska</w:t>
      </w:r>
      <w:r>
        <w:rPr>
          <w:b/>
          <w:bCs/>
        </w:rPr>
        <w:br/>
      </w:r>
      <w:r>
        <w:t>Violetta Bachur, Maciej Stasiewicz</w:t>
      </w:r>
    </w:p>
    <w:p w14:paraId="4EBBB765" w14:textId="77777777" w:rsidR="00F64A24" w:rsidRDefault="00F64A24" w:rsidP="00F64A24">
      <w:pPr>
        <w:pStyle w:val="NormalnyWeb"/>
      </w:pPr>
      <w:r>
        <w:rPr>
          <w:rStyle w:val="Pogrubienie"/>
        </w:rPr>
        <w:t>Komunikacja i marketing</w:t>
      </w:r>
      <w:r>
        <w:rPr>
          <w:b/>
          <w:bCs/>
        </w:rPr>
        <w:br/>
      </w:r>
      <w:r>
        <w:t>Anna Dobrowolska-Balcerzak, Aleksandra Galant, Natasza Majewska, Dominika Wiśniewska</w:t>
      </w:r>
    </w:p>
    <w:p w14:paraId="12777835" w14:textId="77777777" w:rsidR="00F64A24" w:rsidRDefault="00F64A24" w:rsidP="00F64A24">
      <w:pPr>
        <w:pStyle w:val="NormalnyWeb"/>
      </w:pPr>
      <w:r>
        <w:rPr>
          <w:rStyle w:val="Pogrubienie"/>
        </w:rPr>
        <w:t>Podziękowania</w:t>
      </w:r>
      <w:r>
        <w:rPr>
          <w:b/>
          <w:bCs/>
        </w:rPr>
        <w:br/>
      </w:r>
      <w:r>
        <w:t xml:space="preserve">Michał Trębacz, Zuzanna </w:t>
      </w:r>
      <w:proofErr w:type="spellStart"/>
      <w:r>
        <w:t>Schnepf</w:t>
      </w:r>
      <w:proofErr w:type="spellEnd"/>
      <w:r>
        <w:t xml:space="preserve">-Kołacz, Monika Taras, Irmina Gadowska, William </w:t>
      </w:r>
      <w:proofErr w:type="spellStart"/>
      <w:r>
        <w:t>Gilcher</w:t>
      </w:r>
      <w:proofErr w:type="spellEnd"/>
      <w:r>
        <w:t>, Zuzanna Benesz-Goldfinger, Marta Kapełuś, Michał Krasicki, Anna Ekielska, Agnieszka Reszka, Marzena Mikos, Adam Sitarek</w:t>
      </w:r>
    </w:p>
    <w:p w14:paraId="0C4B4CEB" w14:textId="77777777" w:rsidR="00B615BB" w:rsidRDefault="00B615BB" w:rsidP="00F64A24"/>
    <w:sectPr w:rsidR="00B615BB" w:rsidSect="000B078F">
      <w:pgSz w:w="11909" w:h="16834" w:code="9"/>
      <w:pgMar w:top="1417" w:right="1417" w:bottom="1417" w:left="1417" w:header="0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24"/>
    <w:rsid w:val="000B078F"/>
    <w:rsid w:val="001314CA"/>
    <w:rsid w:val="00750D75"/>
    <w:rsid w:val="009302E3"/>
    <w:rsid w:val="00B615BB"/>
    <w:rsid w:val="00EA7C2F"/>
    <w:rsid w:val="00F6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3B65C"/>
  <w15:chartTrackingRefBased/>
  <w15:docId w15:val="{6FCD2CAB-8313-4A8B-BEAE-F5243FDF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64A24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64A2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64A24"/>
    <w:rPr>
      <w:b/>
      <w:bCs/>
    </w:rPr>
  </w:style>
  <w:style w:type="character" w:customStyle="1" w:styleId="events-detail-sign">
    <w:name w:val="events-detail-sign"/>
    <w:basedOn w:val="Domylnaczcionkaakapitu"/>
    <w:rsid w:val="00F64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9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centrumdialogu.com/80-rocznica-ikwidacji-litzmannstadt-gett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95940EEBB47C4EACE39F47B54AF722" ma:contentTypeVersion="16" ma:contentTypeDescription="Utwórz nowy dokument." ma:contentTypeScope="" ma:versionID="b5bae34d37334d464e51987b11af2623">
  <xsd:schema xmlns:xsd="http://www.w3.org/2001/XMLSchema" xmlns:xs="http://www.w3.org/2001/XMLSchema" xmlns:p="http://schemas.microsoft.com/office/2006/metadata/properties" xmlns:ns3="67f21483-547c-469c-a17f-4a25a08c35eb" xmlns:ns4="b4148eeb-3f33-436c-a9df-ce9f87f00872" targetNamespace="http://schemas.microsoft.com/office/2006/metadata/properties" ma:root="true" ma:fieldsID="cef51375bb25966155b2af58ebbfc199" ns3:_="" ns4:_="">
    <xsd:import namespace="67f21483-547c-469c-a17f-4a25a08c35eb"/>
    <xsd:import namespace="b4148eeb-3f33-436c-a9df-ce9f87f008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21483-547c-469c-a17f-4a25a08c3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48eeb-3f33-436c-a9df-ce9f87f008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21483-547c-469c-a17f-4a25a08c35eb" xsi:nil="true"/>
  </documentManagement>
</p:properties>
</file>

<file path=customXml/itemProps1.xml><?xml version="1.0" encoding="utf-8"?>
<ds:datastoreItem xmlns:ds="http://schemas.openxmlformats.org/officeDocument/2006/customXml" ds:itemID="{AEF9EFE3-50E4-41BE-B757-997AB9880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21483-547c-469c-a17f-4a25a08c35eb"/>
    <ds:schemaRef ds:uri="b4148eeb-3f33-436c-a9df-ce9f87f00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52813B-A5CD-4A42-8560-CB5EE26532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22DD6F-6FE6-46FE-8693-2A537419F7DE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67f21483-547c-469c-a17f-4a25a08c35eb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b4148eeb-3f33-436c-a9df-ce9f87f0087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3082</Characters>
  <Application>Microsoft Office Word</Application>
  <DocSecurity>0</DocSecurity>
  <Lines>61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Żydowski Instytut Historyczny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Natasza Majewska</dc:creator>
  <cp:keywords/>
  <dc:description/>
  <cp:lastModifiedBy>Natasza Majewska</cp:lastModifiedBy>
  <cp:revision>1</cp:revision>
  <dcterms:created xsi:type="dcterms:W3CDTF">2024-08-21T14:44:00Z</dcterms:created>
  <dcterms:modified xsi:type="dcterms:W3CDTF">2024-08-21T14:45:00Z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77a79044-4d22-43b1-8789-857e060cc4b6</vt:lpwstr>
  </property>
  <property fmtid="{D5CDD505-2E9C-101B-9397-08002B2CF9AE}" pid="3" name="ContentTypeId">
    <vt:lpwstr>0x010100D695940EEBB47C4EACE39F47B54AF722</vt:lpwstr>
  </property>
</Properties>
</file>